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31" w:firstLineChars="147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Protein G</w:t>
      </w:r>
      <w:r>
        <w:rPr>
          <w:rFonts w:ascii="Times New Roman" w:hAnsi="Times New Roman"/>
          <w:b/>
          <w:sz w:val="36"/>
          <w:szCs w:val="36"/>
        </w:rPr>
        <w:t>- QD</w:t>
      </w:r>
      <w:r>
        <w:rPr>
          <w:rFonts w:hint="eastAsia" w:ascii="Times New Roman" w:hAnsi="Times New Roman"/>
          <w:b/>
          <w:sz w:val="36"/>
          <w:szCs w:val="36"/>
        </w:rPr>
        <w:t>品</w:t>
      </w:r>
      <w:r>
        <w:rPr>
          <w:rFonts w:hint="eastAsia"/>
          <w:b/>
          <w:sz w:val="36"/>
          <w:szCs w:val="36"/>
        </w:rPr>
        <w:t>使用说明书</w:t>
      </w:r>
    </w:p>
    <w:p>
      <w:pPr>
        <w:ind w:firstLine="829" w:firstLineChars="395"/>
        <w:rPr>
          <w:szCs w:val="21"/>
        </w:rPr>
      </w:pPr>
    </w:p>
    <w:p>
      <w:pPr>
        <w:widowControl/>
        <w:shd w:val="clear" w:color="auto" w:fill="FFFFFF"/>
        <w:spacing w:line="440" w:lineRule="exact"/>
        <w:ind w:firstLine="422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szCs w:val="21"/>
          <w:u w:val="single"/>
        </w:rPr>
        <w:t>技术背景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/>
          <w:szCs w:val="21"/>
        </w:rPr>
        <w:t>天然蛋白</w:t>
      </w:r>
      <w:r>
        <w:rPr>
          <w:rFonts w:ascii="Times New Roman" w:hAnsi="Times New Roman"/>
          <w:szCs w:val="21"/>
        </w:rPr>
        <w:t>G</w:t>
      </w:r>
      <w:r>
        <w:rPr>
          <w:rFonts w:ascii="Times New Roman"/>
          <w:szCs w:val="21"/>
        </w:rPr>
        <w:t>（</w:t>
      </w:r>
      <w:r>
        <w:rPr>
          <w:rFonts w:ascii="Times New Roman" w:hAnsi="Times New Roman"/>
          <w:szCs w:val="21"/>
        </w:rPr>
        <w:t>Protein G</w:t>
      </w:r>
      <w:r>
        <w:rPr>
          <w:rFonts w:ascii="Times New Roman"/>
          <w:szCs w:val="21"/>
        </w:rPr>
        <w:t>）是一种由细菌</w:t>
      </w:r>
      <w:r>
        <w:rPr>
          <w:rFonts w:ascii="Times New Roman" w:hAnsi="Times New Roman"/>
          <w:i/>
          <w:szCs w:val="21"/>
        </w:rPr>
        <w:t xml:space="preserve">Streptococcus </w:t>
      </w:r>
      <w:r>
        <w:rPr>
          <w:rFonts w:ascii="Times New Roman" w:hAnsi="Times New Roman"/>
          <w:szCs w:val="21"/>
        </w:rPr>
        <w:t>sp. group G</w:t>
      </w:r>
      <w:r>
        <w:rPr>
          <w:rFonts w:ascii="Times New Roman"/>
          <w:szCs w:val="21"/>
        </w:rPr>
        <w:t>表达的</w:t>
      </w:r>
      <w:r>
        <w:rPr>
          <w:rFonts w:ascii="Times New Roman" w:hAnsi="Times New Roman"/>
          <w:szCs w:val="21"/>
        </w:rPr>
        <w:t>65kD</w:t>
      </w:r>
      <w:r>
        <w:rPr>
          <w:rFonts w:ascii="Times New Roman"/>
          <w:szCs w:val="21"/>
        </w:rPr>
        <w:t>蛋白，可与多种免疫球蛋白的</w:t>
      </w:r>
      <w:r>
        <w:rPr>
          <w:rFonts w:ascii="Times New Roman" w:hAnsi="Times New Roman"/>
          <w:szCs w:val="21"/>
        </w:rPr>
        <w:t>Fc</w:t>
      </w:r>
      <w:r>
        <w:rPr>
          <w:rFonts w:ascii="Times New Roman"/>
          <w:szCs w:val="21"/>
        </w:rPr>
        <w:t>区结合（表</w:t>
      </w:r>
      <w:r>
        <w:rPr>
          <w:rFonts w:ascii="Times New Roman" w:hAnsi="Times New Roman"/>
          <w:szCs w:val="21"/>
        </w:rPr>
        <w:t>1</w:t>
      </w:r>
      <w:r>
        <w:rPr>
          <w:rFonts w:ascii="Times New Roman"/>
          <w:szCs w:val="21"/>
        </w:rPr>
        <w:t>）。本产品采用分子生物学改造后的重组蛋白</w:t>
      </w:r>
      <w:r>
        <w:rPr>
          <w:rFonts w:ascii="Times New Roman" w:hAnsi="Times New Roman"/>
          <w:szCs w:val="21"/>
        </w:rPr>
        <w:t>G</w:t>
      </w:r>
      <w:r>
        <w:rPr>
          <w:rFonts w:ascii="Times New Roman"/>
          <w:szCs w:val="21"/>
        </w:rPr>
        <w:t>在基本保持原结合特性的同时，可提高特异性和亲和力，增强生物标记的灵敏度。重组蛋白</w:t>
      </w:r>
      <w:r>
        <w:rPr>
          <w:rFonts w:ascii="Times New Roman" w:hAnsi="Times New Roman"/>
          <w:szCs w:val="21"/>
        </w:rPr>
        <w:t>G</w:t>
      </w:r>
      <w:r>
        <w:rPr>
          <w:rFonts w:ascii="Times New Roman"/>
          <w:szCs w:val="21"/>
        </w:rPr>
        <w:t>由大肠杆菌异源表达，经过亲和纯化后纯度在</w:t>
      </w:r>
      <w:r>
        <w:rPr>
          <w:rFonts w:ascii="Times New Roman" w:hAnsi="Times New Roman"/>
          <w:szCs w:val="21"/>
        </w:rPr>
        <w:t>95%</w:t>
      </w:r>
      <w:r>
        <w:rPr>
          <w:rFonts w:ascii="Times New Roman"/>
          <w:szCs w:val="21"/>
        </w:rPr>
        <w:t>以上，通过与低非特异性吸附的量子点偶联，获得特异性结合免疫球蛋白</w:t>
      </w:r>
      <w:r>
        <w:rPr>
          <w:rFonts w:ascii="Times New Roman" w:hAnsi="Times New Roman"/>
          <w:szCs w:val="21"/>
        </w:rPr>
        <w:t>Fc</w:t>
      </w:r>
      <w:r>
        <w:rPr>
          <w:rFonts w:ascii="Times New Roman"/>
          <w:szCs w:val="21"/>
        </w:rPr>
        <w:t>区的荧光探针，可用于多种免疫标记及相关荧光分析实验。</w:t>
      </w:r>
    </w:p>
    <w:p>
      <w:pPr>
        <w:widowControl/>
        <w:shd w:val="clear" w:color="auto" w:fill="FFFFFF"/>
        <w:spacing w:line="440" w:lineRule="exact"/>
        <w:ind w:firstLine="420" w:firstLineChars="200"/>
        <w:rPr>
          <w:rFonts w:ascii="Times New Roman"/>
          <w:szCs w:val="21"/>
        </w:rPr>
      </w:pPr>
      <w:r>
        <w:rPr>
          <w:rFonts w:ascii="Times New Roman"/>
          <w:szCs w:val="21"/>
        </w:rPr>
        <w:t>本产品量子点组成为</w:t>
      </w:r>
      <w:r>
        <w:rPr>
          <w:rFonts w:ascii="Times New Roman" w:hAnsi="Times New Roman"/>
          <w:szCs w:val="21"/>
        </w:rPr>
        <w:t>CdSSe/ZnS</w:t>
      </w:r>
      <w:r>
        <w:rPr>
          <w:rFonts w:ascii="Times New Roman"/>
          <w:szCs w:val="21"/>
        </w:rPr>
        <w:t>，发射波长为</w:t>
      </w:r>
      <w:r>
        <w:rPr>
          <w:rFonts w:hint="eastAsia" w:ascii="Times New Roman" w:hAnsi="Times New Roman"/>
          <w:szCs w:val="21"/>
        </w:rPr>
        <w:t>52</w:t>
      </w: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  <w:lang w:val="en-US" w:eastAsia="zh-CN"/>
        </w:rPr>
        <w:t>-655</w:t>
      </w:r>
      <w:r>
        <w:rPr>
          <w:rFonts w:ascii="Times New Roman" w:hAnsi="Times New Roman"/>
          <w:szCs w:val="21"/>
        </w:rPr>
        <w:t>nm</w:t>
      </w:r>
      <w:r>
        <w:rPr>
          <w:rFonts w:hint="eastAsia" w:ascii="Times New Roman" w:hAnsi="Times New Roman"/>
          <w:szCs w:val="21"/>
          <w:lang w:eastAsia="zh-CN"/>
        </w:rPr>
        <w:t>可调</w:t>
      </w:r>
      <w:r>
        <w:rPr>
          <w:rFonts w:ascii="Times New Roman"/>
          <w:szCs w:val="21"/>
        </w:rPr>
        <w:t>，表面偶联重组蛋白</w:t>
      </w:r>
      <w:r>
        <w:rPr>
          <w:rFonts w:ascii="Times New Roman" w:hAnsi="Times New Roman"/>
          <w:szCs w:val="21"/>
        </w:rPr>
        <w:t>G</w:t>
      </w:r>
      <w:r>
        <w:rPr>
          <w:rFonts w:ascii="Times New Roman"/>
          <w:szCs w:val="21"/>
        </w:rPr>
        <w:t>，经过纯化保存于</w:t>
      </w:r>
      <w:r>
        <w:rPr>
          <w:rFonts w:ascii="Times New Roman" w:hAnsi="Times New Roman"/>
          <w:szCs w:val="21"/>
        </w:rPr>
        <w:t>pH7.4</w:t>
      </w:r>
      <w:r>
        <w:rPr>
          <w:rFonts w:ascii="Times New Roman"/>
          <w:szCs w:val="21"/>
        </w:rPr>
        <w:t>的</w:t>
      </w:r>
      <w:r>
        <w:rPr>
          <w:rFonts w:ascii="Times New Roman" w:hAnsi="Times New Roman"/>
          <w:szCs w:val="21"/>
        </w:rPr>
        <w:t>10mM PB</w:t>
      </w:r>
      <w:r>
        <w:rPr>
          <w:rFonts w:ascii="Times New Roman"/>
          <w:szCs w:val="21"/>
        </w:rPr>
        <w:t>缓冲液中，使用时请注意蛋白</w:t>
      </w:r>
      <w:r>
        <w:rPr>
          <w:rFonts w:ascii="Times New Roman" w:hAnsi="Times New Roman"/>
          <w:szCs w:val="21"/>
        </w:rPr>
        <w:t>G</w:t>
      </w:r>
      <w:r>
        <w:rPr>
          <w:rFonts w:ascii="Times New Roman"/>
          <w:szCs w:val="21"/>
        </w:rPr>
        <w:t>与大多数免疫球蛋白结合的</w:t>
      </w:r>
      <w:r>
        <w:rPr>
          <w:rFonts w:ascii="Times New Roman" w:hAnsi="Times New Roman"/>
          <w:szCs w:val="21"/>
        </w:rPr>
        <w:t>pH</w:t>
      </w:r>
      <w:r>
        <w:rPr>
          <w:rFonts w:ascii="Times New Roman"/>
          <w:szCs w:val="21"/>
        </w:rPr>
        <w:t>范围应在</w:t>
      </w:r>
      <w:r>
        <w:rPr>
          <w:rFonts w:ascii="Times New Roman" w:hAnsi="Times New Roman"/>
          <w:szCs w:val="21"/>
        </w:rPr>
        <w:t>7-8</w:t>
      </w:r>
      <w:r>
        <w:rPr>
          <w:rFonts w:ascii="Times New Roman"/>
          <w:szCs w:val="21"/>
        </w:rPr>
        <w:t>之间。</w:t>
      </w:r>
    </w:p>
    <w:tbl>
      <w:tblPr>
        <w:tblStyle w:val="6"/>
        <w:tblW w:w="8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5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产品编号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/Q1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 xml:space="preserve">Protein </w:t>
            </w: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G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 xml:space="preserve">Protein </w:t>
            </w: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G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 xml:space="preserve">Protein </w:t>
            </w: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G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jc w:val="left"/>
              <w:rPr>
                <w:rFonts w:hint="eastAsia" w:asci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 xml:space="preserve">Protein </w:t>
            </w: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G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jc w:val="left"/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 xml:space="preserve">Protein </w:t>
            </w: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G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jc w:val="left"/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 xml:space="preserve">Protein </w:t>
            </w: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G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5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</w:p>
          <w:p>
            <w:pPr>
              <w:ind w:left="126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格】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/>
                <w:color w:val="000000"/>
              </w:rPr>
              <w:t>【浓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</w:rPr>
              <w:t>度</w:t>
            </w:r>
            <w:r>
              <w:rPr>
                <w:rFonts w:hint="eastAsia" w:ascii="Times New Roman"/>
                <w:color w:val="000000"/>
              </w:rPr>
              <w:t>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>
            <w:pPr>
              <w:ind w:left="1260" w:hanging="1260" w:hangingChars="600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【保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hint="eastAsia" w:ascii="Times New Roman" w:hAnsi="Times New Roman"/>
                <w:color w:val="000000"/>
              </w:rPr>
              <w:t>可保</w:t>
            </w:r>
            <w:r>
              <w:rPr>
                <w:rFonts w:hint="eastAsia" w:ascii="Times New Roman"/>
                <w:color w:val="000000"/>
              </w:rPr>
              <w:t>存三个月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color w:val="000000"/>
              </w:rPr>
              <w:t>【注意事项】</w:t>
            </w:r>
            <w:r>
              <w:rPr>
                <w:rFonts w:hint="eastAsia" w:ascii="Times New Roman"/>
              </w:rPr>
              <w:t>禁止冷冻</w:t>
            </w:r>
          </w:p>
        </w:tc>
      </w:tr>
    </w:tbl>
    <w:p>
      <w:pPr>
        <w:spacing w:line="200" w:lineRule="exact"/>
        <w:ind w:firstLine="829" w:firstLineChars="395"/>
        <w:rPr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储存液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 w:hAnsi="Times New Roman"/>
          <w:color w:val="000000"/>
          <w:szCs w:val="21"/>
        </w:rPr>
        <w:t>0.01M PB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(</w:t>
      </w:r>
      <w:r>
        <w:rPr>
          <w:rFonts w:hint="eastAsia" w:ascii="Times New Roman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应用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免疫组化、免疫荧光、蛋白印记、细胞相关分析实验、流式细胞术。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>
      <w:pPr>
        <w:spacing w:before="50" w:line="400" w:lineRule="exact"/>
        <w:ind w:firstLine="2520" w:firstLineChars="1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具体实验过程中，应根据不同用途选择合适的量子点标记物工作浓度。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保存说明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自生产之日起，</w:t>
      </w:r>
      <w:r>
        <w:rPr>
          <w:rFonts w:hint="eastAsia" w:ascii="Times New Roman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hint="eastAsia" w:ascii="宋体" w:hAnsi="宋体" w:cs="宋体"/>
          <w:color w:val="000000"/>
        </w:rPr>
        <w:t>℃</w:t>
      </w:r>
      <w:r>
        <w:rPr>
          <w:rFonts w:hint="eastAsia" w:ascii="Times New Roman"/>
          <w:color w:val="000000"/>
        </w:rPr>
        <w:t>可保存三个月；为了更好保存、使用试剂，使用前后请适当离心（盖帽）；切勿冷冻。</w:t>
      </w:r>
    </w:p>
    <w:p>
      <w:pPr>
        <w:spacing w:line="400" w:lineRule="exact"/>
        <w:rPr>
          <w:rFonts w:asci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备注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本产品仅用于科研，不能用于人体实验或人体治疗。</w:t>
      </w:r>
    </w:p>
    <w:p>
      <w:pPr>
        <w:spacing w:line="400" w:lineRule="exact"/>
        <w:rPr>
          <w:rFonts w:ascii="Times New Roman"/>
          <w:color w:val="000000"/>
          <w:szCs w:val="21"/>
        </w:rPr>
      </w:pPr>
    </w:p>
    <w:p>
      <w:pPr>
        <w:spacing w:line="400" w:lineRule="exact"/>
        <w:rPr>
          <w:rFonts w:ascii="Times New Roman"/>
          <w:color w:val="000000"/>
          <w:szCs w:val="21"/>
        </w:rPr>
      </w:pPr>
    </w:p>
    <w:p>
      <w:pPr>
        <w:spacing w:line="400" w:lineRule="exact"/>
        <w:rPr>
          <w:rFonts w:ascii="Times New Roman"/>
          <w:color w:val="000000"/>
          <w:szCs w:val="21"/>
        </w:rPr>
      </w:pPr>
    </w:p>
    <w:p>
      <w:pPr>
        <w:spacing w:line="400" w:lineRule="exact"/>
        <w:rPr>
          <w:rFonts w:hint="eastAsia" w:ascii="Times New Roman"/>
          <w:color w:val="000000"/>
          <w:szCs w:val="21"/>
        </w:rPr>
      </w:pPr>
    </w:p>
    <w:p>
      <w:pPr>
        <w:spacing w:beforeLines="50"/>
        <w:rPr>
          <w:rFonts w:ascii="Times New Roman" w:hAnsi="Times New Roman"/>
          <w:b/>
          <w:szCs w:val="21"/>
        </w:rPr>
      </w:pPr>
      <w:r>
        <w:rPr>
          <w:rFonts w:ascii="Times New Roman"/>
          <w:b/>
          <w:szCs w:val="21"/>
        </w:rPr>
        <w:t>表</w:t>
      </w:r>
      <w:r>
        <w:rPr>
          <w:rFonts w:ascii="Times New Roman" w:hAnsi="Times New Roman"/>
          <w:b/>
          <w:szCs w:val="21"/>
        </w:rPr>
        <w:t xml:space="preserve">1 </w:t>
      </w:r>
      <w:r>
        <w:rPr>
          <w:rFonts w:ascii="Times New Roman"/>
          <w:b/>
          <w:szCs w:val="21"/>
        </w:rPr>
        <w:t>蛋白</w:t>
      </w:r>
      <w:r>
        <w:rPr>
          <w:rFonts w:hint="eastAsia" w:ascii="Times New Roman" w:hAnsi="Times New Roman"/>
          <w:b/>
          <w:szCs w:val="21"/>
        </w:rPr>
        <w:t xml:space="preserve">G </w:t>
      </w:r>
      <w:r>
        <w:rPr>
          <w:rFonts w:ascii="Times New Roman"/>
          <w:b/>
          <w:szCs w:val="21"/>
        </w:rPr>
        <w:t>对不同种属源性的抗体结合能力。</w:t>
      </w:r>
    </w:p>
    <w:tbl>
      <w:tblPr>
        <w:tblStyle w:val="6"/>
        <w:tblW w:w="803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1151"/>
        <w:gridCol w:w="2158"/>
        <w:gridCol w:w="976"/>
        <w:gridCol w:w="1188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物种</w:t>
            </w:r>
          </w:p>
        </w:tc>
        <w:tc>
          <w:tcPr>
            <w:tcW w:w="115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抗体亚类</w:t>
            </w:r>
          </w:p>
        </w:tc>
        <w:tc>
          <w:tcPr>
            <w:tcW w:w="2158" w:type="dxa"/>
            <w:tcBorders>
              <w:top w:val="single" w:color="auto" w:sz="12" w:space="0"/>
              <w:left w:val="nil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蛋白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亲和力</w:t>
            </w:r>
          </w:p>
        </w:tc>
        <w:tc>
          <w:tcPr>
            <w:tcW w:w="976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物种</w:t>
            </w:r>
          </w:p>
        </w:tc>
        <w:tc>
          <w:tcPr>
            <w:tcW w:w="118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抗体亚类</w:t>
            </w:r>
          </w:p>
        </w:tc>
        <w:tc>
          <w:tcPr>
            <w:tcW w:w="185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蛋白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亲和力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小鼠</w:t>
            </w:r>
          </w:p>
        </w:tc>
        <w:tc>
          <w:tcPr>
            <w:tcW w:w="115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2158" w:type="dxa"/>
            <w:tcBorders>
              <w:top w:val="single" w:color="auto" w:sz="12" w:space="0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++++</w:t>
            </w:r>
          </w:p>
        </w:tc>
        <w:tc>
          <w:tcPr>
            <w:tcW w:w="976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118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IgY</w:t>
            </w:r>
          </w:p>
        </w:tc>
        <w:tc>
          <w:tcPr>
            <w:tcW w:w="185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++++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狗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2b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猪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马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牛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大鼠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骆驼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++++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恒河猴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2b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lgA  </w:t>
            </w: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lgD 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-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豚鼠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lgE 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仓鼠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兔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山羊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绵羊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++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IgM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</w:p>
        </w:tc>
      </w:tr>
    </w:tbl>
    <w:p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“+”</w:t>
      </w:r>
      <w:r>
        <w:rPr>
          <w:rFonts w:ascii="Times New Roman"/>
          <w:szCs w:val="21"/>
        </w:rPr>
        <w:t>号数量代表亲和力强弱，</w:t>
      </w:r>
      <w:r>
        <w:rPr>
          <w:rFonts w:ascii="Times New Roman" w:hAnsi="Times New Roman"/>
          <w:szCs w:val="21"/>
        </w:rPr>
        <w:t>“++++”</w:t>
      </w:r>
      <w:r>
        <w:rPr>
          <w:rFonts w:ascii="Times New Roman"/>
          <w:szCs w:val="21"/>
        </w:rPr>
        <w:t>为强结合，</w:t>
      </w:r>
      <w:r>
        <w:rPr>
          <w:rFonts w:ascii="Times New Roman" w:hAnsi="Times New Roman"/>
          <w:szCs w:val="21"/>
        </w:rPr>
        <w:t>“++”</w:t>
      </w:r>
      <w:r>
        <w:rPr>
          <w:rFonts w:ascii="Times New Roman"/>
          <w:szCs w:val="21"/>
        </w:rPr>
        <w:t>为中等结合，</w:t>
      </w:r>
      <w:r>
        <w:rPr>
          <w:rFonts w:ascii="Times New Roman" w:hAnsi="Times New Roman"/>
          <w:szCs w:val="21"/>
        </w:rPr>
        <w:t>“-”</w:t>
      </w:r>
      <w:r>
        <w:rPr>
          <w:rFonts w:ascii="Times New Roman"/>
          <w:szCs w:val="21"/>
        </w:rPr>
        <w:t>为弱或无结合活性，</w:t>
      </w:r>
      <w:r>
        <w:rPr>
          <w:rFonts w:ascii="Times New Roman" w:hAnsi="Times New Roman"/>
          <w:szCs w:val="21"/>
        </w:rPr>
        <w:t>“</w:t>
      </w:r>
      <w:r>
        <w:rPr>
          <w:rFonts w:ascii="Times New Roman"/>
          <w:szCs w:val="21"/>
        </w:rPr>
        <w:t>可变</w:t>
      </w:r>
      <w:r>
        <w:rPr>
          <w:rFonts w:ascii="Times New Roman" w:hAnsi="Times New Roman"/>
          <w:szCs w:val="21"/>
        </w:rPr>
        <w:t>”</w:t>
      </w:r>
      <w:r>
        <w:rPr>
          <w:rFonts w:ascii="Times New Roman"/>
          <w:szCs w:val="21"/>
        </w:rPr>
        <w:t>表明该类抗体来源不同表现结合力不同。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6"/>
      <w:tblpPr w:leftFromText="187" w:rightFromText="187" w:vertAnchor="text" w:tblpXSpec="left" w:tblpY="1"/>
      <w:tblW w:w="852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Grid>
      <w:gridCol w:w="3835"/>
      <w:gridCol w:w="852"/>
      <w:gridCol w:w="383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1" w:hRule="atLeast"/>
      </w:trPr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>
          <w:pPr>
            <w:pStyle w:val="8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t xml:space="preserve"> </w:t>
          </w:r>
          <w:r>
            <w:rPr>
              <w:rFonts w:ascii="Cambria" w:hAnsi="Cambria"/>
              <w:b/>
              <w:lang w:val="zh-CN"/>
            </w:rP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="Cambria" w:hAnsi="Cambria"/>
              <w:b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0" w:hRule="atLeast"/>
      </w:trPr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 w:val="continue"/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6" o:spid="_x0000_s1025" type="#_x0000_t75" style="height:56.85pt;width:153.45pt;rotation:0f;" o:ole="f" fillcolor="#FFFFFF" filled="f" o:preferrelative="t" stroked="f" coordorigin="0,0" coordsize="21600,21600">
          <v:fill on="f" color2="#FFFFFF" focus="0%"/>
          <v:imagedata gain="65536f" blacklevel="0f" gamma="0" o:title="2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7F31"/>
    <w:rsid w:val="00011CBD"/>
    <w:rsid w:val="000E2A1D"/>
    <w:rsid w:val="00162B2A"/>
    <w:rsid w:val="001B32C5"/>
    <w:rsid w:val="001D0B7D"/>
    <w:rsid w:val="001F11A8"/>
    <w:rsid w:val="002305AE"/>
    <w:rsid w:val="00237F31"/>
    <w:rsid w:val="00287B95"/>
    <w:rsid w:val="00295166"/>
    <w:rsid w:val="002D73DA"/>
    <w:rsid w:val="00306DBC"/>
    <w:rsid w:val="003250F3"/>
    <w:rsid w:val="00344981"/>
    <w:rsid w:val="00381A9D"/>
    <w:rsid w:val="003B7E56"/>
    <w:rsid w:val="003E60AA"/>
    <w:rsid w:val="00401CAA"/>
    <w:rsid w:val="0041400D"/>
    <w:rsid w:val="00422DA8"/>
    <w:rsid w:val="00427F82"/>
    <w:rsid w:val="00486AC0"/>
    <w:rsid w:val="004F035D"/>
    <w:rsid w:val="004F4934"/>
    <w:rsid w:val="00531DDC"/>
    <w:rsid w:val="00534502"/>
    <w:rsid w:val="0058469C"/>
    <w:rsid w:val="00653128"/>
    <w:rsid w:val="0066702B"/>
    <w:rsid w:val="006E686A"/>
    <w:rsid w:val="007165FC"/>
    <w:rsid w:val="00772A58"/>
    <w:rsid w:val="007A05CE"/>
    <w:rsid w:val="007F6BEE"/>
    <w:rsid w:val="00872CD8"/>
    <w:rsid w:val="008A2277"/>
    <w:rsid w:val="008B766E"/>
    <w:rsid w:val="008F1917"/>
    <w:rsid w:val="00902B2D"/>
    <w:rsid w:val="00916A96"/>
    <w:rsid w:val="00917FE8"/>
    <w:rsid w:val="00922C49"/>
    <w:rsid w:val="009345F8"/>
    <w:rsid w:val="00941EFF"/>
    <w:rsid w:val="00987E4E"/>
    <w:rsid w:val="00994AF3"/>
    <w:rsid w:val="009A37E5"/>
    <w:rsid w:val="00A25702"/>
    <w:rsid w:val="00A67B86"/>
    <w:rsid w:val="00A7215D"/>
    <w:rsid w:val="00A97AFB"/>
    <w:rsid w:val="00AF6E6D"/>
    <w:rsid w:val="00BF048B"/>
    <w:rsid w:val="00C11287"/>
    <w:rsid w:val="00C3247F"/>
    <w:rsid w:val="00C361D1"/>
    <w:rsid w:val="00C5260E"/>
    <w:rsid w:val="00C57EF4"/>
    <w:rsid w:val="00C775CE"/>
    <w:rsid w:val="00D25E74"/>
    <w:rsid w:val="00D37DEC"/>
    <w:rsid w:val="00D53370"/>
    <w:rsid w:val="00D648D1"/>
    <w:rsid w:val="00D84FE6"/>
    <w:rsid w:val="00D8729C"/>
    <w:rsid w:val="00D921FE"/>
    <w:rsid w:val="00E13897"/>
    <w:rsid w:val="00E20653"/>
    <w:rsid w:val="00E2512F"/>
    <w:rsid w:val="00E35069"/>
    <w:rsid w:val="00E85F6F"/>
    <w:rsid w:val="00E970AE"/>
    <w:rsid w:val="00EE2838"/>
    <w:rsid w:val="00F35E2A"/>
    <w:rsid w:val="00F66E84"/>
    <w:rsid w:val="00F838D4"/>
    <w:rsid w:val="00F87200"/>
    <w:rsid w:val="00FA23F2"/>
    <w:rsid w:val="0A322B7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/>
    <w:rPr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No Spacing"/>
    <w:link w:val="12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9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无间隔 Char"/>
    <w:basedOn w:val="5"/>
    <w:link w:val="8"/>
    <w:locked/>
    <w:uiPriority w:val="99"/>
    <w:rPr>
      <w:rFonts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486</Characters>
  <Lines>4</Lines>
  <Paragraphs>2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2014-02-26T02:49:00Z</dcterms:created>
  <dc:creator>史维维</dc:creator>
  <cp:lastModifiedBy>Administrator</cp:lastModifiedBy>
  <cp:lastPrinted>2014-03-14T06:12:00Z</cp:lastPrinted>
  <dcterms:modified xsi:type="dcterms:W3CDTF">2015-04-02T02:54:15Z</dcterms:modified>
  <dc:title>Protein G- QD品使用说明书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